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36" w:rsidRPr="00A50236" w:rsidRDefault="00A50236" w:rsidP="00A50236"/>
    <w:p w:rsidR="008517D5" w:rsidRPr="008517D5" w:rsidRDefault="00456AE3" w:rsidP="008517D5">
      <w:pPr>
        <w:tabs>
          <w:tab w:val="left" w:pos="1665"/>
        </w:tabs>
        <w:jc w:val="center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t xml:space="preserve">TRAINING </w:t>
      </w:r>
      <w:r w:rsidR="00D370F4"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t>MODULE DESCRIPTION</w:t>
      </w:r>
      <w:r w:rsidR="00FE6967"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br/>
      </w:r>
      <w:r w:rsidR="005234A1" w:rsidRPr="003C014C">
        <w:rPr>
          <w:rFonts w:ascii="Arial" w:hAnsi="Arial" w:cs="Arial"/>
          <w:b/>
          <w:color w:val="002060"/>
          <w:sz w:val="28"/>
          <w:szCs w:val="28"/>
          <w:lang w:val="en-US"/>
        </w:rPr>
        <w:t>National Pilot courses (WP06)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7386"/>
      </w:tblGrid>
      <w:tr w:rsidR="00D370F4" w:rsidRPr="007D2422" w:rsidTr="003C014C">
        <w:tc>
          <w:tcPr>
            <w:tcW w:w="2376" w:type="dxa"/>
          </w:tcPr>
          <w:p w:rsidR="00D370F4" w:rsidRPr="00456AE3" w:rsidRDefault="003C014C" w:rsidP="003C014C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Course title</w:t>
            </w:r>
          </w:p>
        </w:tc>
        <w:tc>
          <w:tcPr>
            <w:tcW w:w="7586" w:type="dxa"/>
          </w:tcPr>
          <w:p w:rsidR="00D370F4" w:rsidRPr="00F53530" w:rsidRDefault="00D370F4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C014C" w:rsidRPr="00F53530" w:rsidRDefault="007D30E7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Foundation 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>Course – SPAR programme / Cultural Volunteers</w:t>
            </w:r>
          </w:p>
        </w:tc>
      </w:tr>
      <w:tr w:rsidR="00D370F4" w:rsidRPr="00805DEE" w:rsidTr="003C014C">
        <w:tc>
          <w:tcPr>
            <w:tcW w:w="2376" w:type="dxa"/>
          </w:tcPr>
          <w:p w:rsidR="00D370F4" w:rsidRPr="00DE194E" w:rsidRDefault="00D370F4" w:rsidP="00A50236">
            <w:pPr>
              <w:rPr>
                <w:color w:val="002060"/>
                <w:lang w:val="en-US"/>
              </w:rPr>
            </w:pPr>
            <w:r w:rsidRPr="00DE194E">
              <w:rPr>
                <w:color w:val="002060"/>
                <w:lang w:val="en-US"/>
              </w:rPr>
              <w:t>Target group</w:t>
            </w:r>
            <w:r w:rsidR="005F1950" w:rsidRPr="00DE194E">
              <w:rPr>
                <w:color w:val="002060"/>
                <w:lang w:val="en-US"/>
              </w:rPr>
              <w:t xml:space="preserve"> </w:t>
            </w:r>
            <w:r w:rsidR="00DE194E" w:rsidRPr="00DE194E">
              <w:rPr>
                <w:color w:val="002060"/>
                <w:lang w:val="en-US"/>
              </w:rPr>
              <w:t>of the course (+possible</w:t>
            </w:r>
            <w:r w:rsidR="003C014C">
              <w:rPr>
                <w:color w:val="002060"/>
                <w:lang w:val="en-US"/>
              </w:rPr>
              <w:t xml:space="preserve"> prior</w:t>
            </w:r>
            <w:r w:rsidR="00DE194E" w:rsidRPr="00DE194E">
              <w:rPr>
                <w:color w:val="002060"/>
                <w:lang w:val="en-US"/>
              </w:rPr>
              <w:t xml:space="preserve"> requirements towards learners)</w:t>
            </w:r>
          </w:p>
        </w:tc>
        <w:tc>
          <w:tcPr>
            <w:tcW w:w="7586" w:type="dxa"/>
          </w:tcPr>
          <w:p w:rsidR="00456AE3" w:rsidRPr="00F53530" w:rsidRDefault="00DB33FF" w:rsidP="002162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Culture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Guide</w:t>
            </w: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volunteers</w:t>
            </w:r>
            <w:r w:rsidR="003C4CED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are to be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recruited from rural catchment areas in East Lancashire and matched to local projects e.g. Civic Arts Centre Oswaldtwistle and Super Slow Way.</w:t>
            </w:r>
            <w:r w:rsidR="007D30E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A786E" w:rsidRPr="00F53530">
              <w:rPr>
                <w:rFonts w:ascii="Arial" w:hAnsi="Arial" w:cs="Arial"/>
                <w:sz w:val="20"/>
                <w:szCs w:val="20"/>
                <w:lang w:val="en-US"/>
              </w:rPr>
              <w:t>No prior experience</w:t>
            </w:r>
            <w:r w:rsidR="002162D9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or skills</w:t>
            </w:r>
            <w:r w:rsidR="000A786E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13E89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will be </w:t>
            </w:r>
            <w:r w:rsidR="000A786E" w:rsidRPr="00F53530">
              <w:rPr>
                <w:rFonts w:ascii="Arial" w:hAnsi="Arial" w:cs="Arial"/>
                <w:sz w:val="20"/>
                <w:szCs w:val="20"/>
                <w:lang w:val="en-US"/>
              </w:rPr>
              <w:t>required</w:t>
            </w:r>
            <w:r w:rsidR="00C677E6" w:rsidRPr="00F53530">
              <w:rPr>
                <w:rFonts w:ascii="Arial" w:hAnsi="Arial" w:cs="Arial"/>
                <w:sz w:val="20"/>
                <w:szCs w:val="20"/>
                <w:lang w:val="en-US"/>
              </w:rPr>
              <w:t>. Volunteers must demonst</w:t>
            </w:r>
            <w:r w:rsidR="002F0DA7" w:rsidRPr="00F53530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C677E6" w:rsidRPr="00F53530">
              <w:rPr>
                <w:rFonts w:ascii="Arial" w:hAnsi="Arial" w:cs="Arial"/>
                <w:sz w:val="20"/>
                <w:szCs w:val="20"/>
                <w:lang w:val="en-US"/>
              </w:rPr>
              <w:t>ate an interest</w:t>
            </w:r>
            <w:r w:rsidR="002162D9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in the arts and</w:t>
            </w:r>
            <w:r w:rsidR="00C677E6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want</w:t>
            </w:r>
            <w:r w:rsidR="002162D9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to be pa</w:t>
            </w:r>
            <w:r w:rsidR="00C677E6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rt of a creative volunteer 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>team supporting</w:t>
            </w:r>
            <w:r w:rsidR="00F13C33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arts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events or delivering new</w:t>
            </w:r>
            <w:r w:rsidR="00F13C33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cultural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initiatives in East Lancashire. </w:t>
            </w:r>
            <w:r w:rsidR="002162D9" w:rsidRPr="00F53530">
              <w:rPr>
                <w:rFonts w:ascii="Arial" w:hAnsi="Arial" w:cs="Arial"/>
                <w:sz w:val="20"/>
                <w:szCs w:val="20"/>
                <w:lang w:val="en-US"/>
              </w:rPr>
              <w:t>Recruitment</w:t>
            </w:r>
            <w:r w:rsidR="002F0DA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for the training programme will be</w:t>
            </w:r>
            <w:r w:rsidR="002162D9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carried out through a wide array of promotional techniques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to extend the reach and scope of the programme</w:t>
            </w:r>
            <w:r w:rsidR="002162D9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(ads, flyers, radio feature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s, newsletters, open days, word of mouth, brokerage) </w:t>
            </w:r>
          </w:p>
        </w:tc>
      </w:tr>
      <w:tr w:rsidR="00D370F4" w:rsidRPr="003C014C" w:rsidTr="003C014C">
        <w:tc>
          <w:tcPr>
            <w:tcW w:w="2376" w:type="dxa"/>
          </w:tcPr>
          <w:p w:rsidR="00D370F4" w:rsidRPr="003C014C" w:rsidRDefault="008517D5" w:rsidP="008517D5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T</w:t>
            </w:r>
            <w:r w:rsidR="00D370F4" w:rsidRPr="003C014C">
              <w:rPr>
                <w:color w:val="002060"/>
                <w:lang w:val="en-US"/>
              </w:rPr>
              <w:t xml:space="preserve">itle of the </w:t>
            </w:r>
            <w:r w:rsidR="003C014C" w:rsidRPr="003C014C">
              <w:rPr>
                <w:color w:val="002060"/>
                <w:lang w:val="en-US"/>
              </w:rPr>
              <w:t xml:space="preserve">course </w:t>
            </w:r>
            <w:r w:rsidR="00D370F4" w:rsidRPr="003C014C">
              <w:rPr>
                <w:color w:val="002060"/>
                <w:lang w:val="en-US"/>
              </w:rPr>
              <w:t>module</w:t>
            </w:r>
          </w:p>
        </w:tc>
        <w:tc>
          <w:tcPr>
            <w:tcW w:w="7586" w:type="dxa"/>
          </w:tcPr>
          <w:p w:rsidR="00D370F4" w:rsidRPr="00F53530" w:rsidRDefault="00D370F4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6AE3" w:rsidRPr="00F53530" w:rsidRDefault="00F53530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2.5-day</w:t>
            </w:r>
            <w:r w:rsidR="002162D9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training course </w:t>
            </w:r>
          </w:p>
          <w:p w:rsidR="003C014C" w:rsidRPr="00F53530" w:rsidRDefault="003C014C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7D2422" w:rsidTr="003C014C">
        <w:tc>
          <w:tcPr>
            <w:tcW w:w="2376" w:type="dxa"/>
          </w:tcPr>
          <w:p w:rsidR="00456AE3" w:rsidRPr="00456AE3" w:rsidRDefault="00D370F4" w:rsidP="00A50236">
            <w:pPr>
              <w:rPr>
                <w:color w:val="002060"/>
                <w:lang w:val="en-US"/>
              </w:rPr>
            </w:pPr>
            <w:r w:rsidRPr="00456AE3">
              <w:rPr>
                <w:color w:val="002060"/>
                <w:lang w:val="en-US"/>
              </w:rPr>
              <w:t xml:space="preserve">Duration of the </w:t>
            </w:r>
            <w:r w:rsidR="003C014C">
              <w:rPr>
                <w:color w:val="002060"/>
                <w:lang w:val="en-US"/>
              </w:rPr>
              <w:t xml:space="preserve">course </w:t>
            </w:r>
            <w:r w:rsidRPr="00456AE3">
              <w:rPr>
                <w:color w:val="002060"/>
                <w:lang w:val="en-US"/>
              </w:rPr>
              <w:t>module</w:t>
            </w:r>
            <w:r w:rsidR="00456AE3" w:rsidRPr="00456AE3">
              <w:rPr>
                <w:color w:val="002060"/>
                <w:lang w:val="en-US"/>
              </w:rPr>
              <w:t xml:space="preserve"> (1 training hour = 45 min)</w:t>
            </w:r>
          </w:p>
          <w:p w:rsidR="00456AE3" w:rsidRPr="00456AE3" w:rsidRDefault="00456AE3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D370F4" w:rsidRPr="00F53530" w:rsidRDefault="002162D9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6 modules each 3 hours long.</w:t>
            </w:r>
          </w:p>
          <w:p w:rsidR="002162D9" w:rsidRPr="00F53530" w:rsidRDefault="002162D9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5234A1" w:rsidRPr="008517D5" w:rsidTr="003C014C">
        <w:tc>
          <w:tcPr>
            <w:tcW w:w="2376" w:type="dxa"/>
          </w:tcPr>
          <w:p w:rsidR="005234A1" w:rsidRDefault="005234A1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Number of </w:t>
            </w:r>
            <w:r w:rsidR="003C014C">
              <w:rPr>
                <w:color w:val="002060"/>
                <w:lang w:val="en-US"/>
              </w:rPr>
              <w:t xml:space="preserve">course </w:t>
            </w:r>
            <w:r>
              <w:rPr>
                <w:color w:val="002060"/>
                <w:lang w:val="en-US"/>
              </w:rPr>
              <w:t>participants (trainees)</w:t>
            </w:r>
          </w:p>
          <w:p w:rsidR="003C014C" w:rsidRPr="00456AE3" w:rsidRDefault="003C014C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5234A1" w:rsidRPr="00F53530" w:rsidRDefault="001B4C17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15</w:t>
            </w:r>
            <w:r w:rsidR="002162D9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beneficiaries</w:t>
            </w:r>
          </w:p>
        </w:tc>
      </w:tr>
      <w:tr w:rsidR="00D370F4" w:rsidRPr="007D2422" w:rsidTr="003C014C">
        <w:tc>
          <w:tcPr>
            <w:tcW w:w="2376" w:type="dxa"/>
          </w:tcPr>
          <w:p w:rsidR="00D370F4" w:rsidRPr="00456AE3" w:rsidRDefault="00D370F4" w:rsidP="00A50236">
            <w:pPr>
              <w:rPr>
                <w:color w:val="002060"/>
                <w:lang w:val="en-US"/>
              </w:rPr>
            </w:pPr>
            <w:r w:rsidRPr="00456AE3">
              <w:rPr>
                <w:color w:val="002060"/>
                <w:lang w:val="en-US"/>
              </w:rPr>
              <w:t>Goal</w:t>
            </w:r>
            <w:r w:rsidR="00456AE3" w:rsidRPr="00456AE3">
              <w:rPr>
                <w:color w:val="002060"/>
                <w:lang w:val="en-US"/>
              </w:rPr>
              <w:t>(</w:t>
            </w:r>
            <w:r w:rsidRPr="00456AE3">
              <w:rPr>
                <w:color w:val="002060"/>
                <w:lang w:val="en-US"/>
              </w:rPr>
              <w:t>s</w:t>
            </w:r>
            <w:r w:rsidR="00456AE3" w:rsidRPr="00456AE3">
              <w:rPr>
                <w:color w:val="002060"/>
                <w:lang w:val="en-US"/>
              </w:rPr>
              <w:t>)</w:t>
            </w:r>
            <w:r w:rsidRPr="00456AE3">
              <w:rPr>
                <w:color w:val="002060"/>
                <w:lang w:val="en-US"/>
              </w:rPr>
              <w:t xml:space="preserve"> of the module</w:t>
            </w:r>
            <w:r w:rsidR="00874B4A">
              <w:rPr>
                <w:color w:val="002060"/>
                <w:lang w:val="en-US"/>
              </w:rPr>
              <w:t xml:space="preserve"> (learning objective</w:t>
            </w:r>
            <w:r w:rsidR="003C014C">
              <w:rPr>
                <w:color w:val="002060"/>
                <w:lang w:val="en-US"/>
              </w:rPr>
              <w:t>(s</w:t>
            </w:r>
            <w:r w:rsidR="00874B4A">
              <w:rPr>
                <w:color w:val="002060"/>
                <w:lang w:val="en-US"/>
              </w:rPr>
              <w:t>)</w:t>
            </w:r>
          </w:p>
        </w:tc>
        <w:tc>
          <w:tcPr>
            <w:tcW w:w="7586" w:type="dxa"/>
          </w:tcPr>
          <w:p w:rsidR="00A30292" w:rsidRPr="00F53530" w:rsidRDefault="003C014C" w:rsidP="00FE6967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Increasing</w:t>
            </w:r>
            <w:r w:rsidR="00145D47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skills in promotion and planning</w:t>
            </w:r>
            <w:r w:rsidR="0022496B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of culture activities and events with an added value for civic participation and community bonding</w:t>
            </w:r>
            <w:r w:rsidR="003C4CED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.   The tr</w:t>
            </w:r>
            <w:r w:rsidR="002679C6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aining will aim to build</w:t>
            </w:r>
            <w:r w:rsidR="00145D47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the soft skill base of beneficiaries</w:t>
            </w:r>
            <w:r w:rsidR="008674E6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145D47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in</w:t>
            </w:r>
            <w:r w:rsidR="002679C6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cluding</w:t>
            </w:r>
            <w:r w:rsidR="00145D47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confidence, self- e</w:t>
            </w:r>
            <w:r w:rsidR="002679C6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steem and inter personal skills and highlight networking opportunities as a way to build </w:t>
            </w:r>
            <w:r w:rsidR="002F0DA7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cultural </w:t>
            </w:r>
            <w:r w:rsidR="002679C6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partnerships/alliances.</w:t>
            </w:r>
          </w:p>
          <w:p w:rsidR="008517D5" w:rsidRPr="00F53530" w:rsidRDefault="008517D5" w:rsidP="00456A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D370F4" w:rsidTr="003C014C">
        <w:tc>
          <w:tcPr>
            <w:tcW w:w="2376" w:type="dxa"/>
          </w:tcPr>
          <w:p w:rsidR="00D370F4" w:rsidRPr="00456AE3" w:rsidRDefault="00456AE3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Merits c</w:t>
            </w:r>
            <w:r w:rsidR="00D370F4" w:rsidRPr="00456AE3">
              <w:rPr>
                <w:color w:val="002060"/>
                <w:lang w:val="en-US"/>
              </w:rPr>
              <w:t>ontent of the module (subjects/topics)</w:t>
            </w:r>
          </w:p>
        </w:tc>
        <w:tc>
          <w:tcPr>
            <w:tcW w:w="7586" w:type="dxa"/>
          </w:tcPr>
          <w:p w:rsidR="00D370F4" w:rsidRPr="00F53530" w:rsidRDefault="00456AE3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3C4CED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F13C33" w:rsidRPr="00F53530">
              <w:rPr>
                <w:rFonts w:ascii="Arial" w:hAnsi="Arial" w:cs="Arial"/>
                <w:sz w:val="20"/>
                <w:szCs w:val="20"/>
                <w:lang w:val="en-US"/>
              </w:rPr>
              <w:t>Listening and feedback s</w:t>
            </w:r>
            <w:r w:rsidR="00D9485E" w:rsidRPr="00F53530">
              <w:rPr>
                <w:rFonts w:ascii="Arial" w:hAnsi="Arial" w:cs="Arial"/>
                <w:sz w:val="20"/>
                <w:szCs w:val="20"/>
                <w:lang w:val="en-US"/>
              </w:rPr>
              <w:t>kills</w:t>
            </w:r>
          </w:p>
          <w:p w:rsidR="00456AE3" w:rsidRPr="00F53530" w:rsidRDefault="00456AE3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  <w:r w:rsidR="00F13C33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 How to n</w:t>
            </w:r>
            <w:r w:rsidR="005E320B" w:rsidRPr="00F53530">
              <w:rPr>
                <w:rFonts w:ascii="Arial" w:hAnsi="Arial" w:cs="Arial"/>
                <w:sz w:val="20"/>
                <w:szCs w:val="20"/>
                <w:lang w:val="en-US"/>
              </w:rPr>
              <w:t>etwork</w:t>
            </w:r>
          </w:p>
          <w:p w:rsidR="00456AE3" w:rsidRPr="00F53530" w:rsidRDefault="00456AE3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  <w:r w:rsidR="00F13C33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 Cultural a</w:t>
            </w:r>
            <w:r w:rsidR="005E320B" w:rsidRPr="00F53530">
              <w:rPr>
                <w:rFonts w:ascii="Arial" w:hAnsi="Arial" w:cs="Arial"/>
                <w:sz w:val="20"/>
                <w:szCs w:val="20"/>
                <w:lang w:val="en-US"/>
              </w:rPr>
              <w:t>wareness</w:t>
            </w:r>
          </w:p>
          <w:p w:rsidR="003C4CED" w:rsidRPr="00F53530" w:rsidRDefault="003C4CED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  <w:r w:rsidR="005E320B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 Get</w:t>
            </w:r>
            <w:r w:rsidR="00145D47" w:rsidRPr="00F53530">
              <w:rPr>
                <w:rFonts w:ascii="Arial" w:hAnsi="Arial" w:cs="Arial"/>
                <w:sz w:val="20"/>
                <w:szCs w:val="20"/>
                <w:lang w:val="en-US"/>
              </w:rPr>
              <w:t>ting</w:t>
            </w:r>
            <w:r w:rsidR="00F13C33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active in your c</w:t>
            </w:r>
            <w:r w:rsidR="005E320B" w:rsidRPr="00F53530">
              <w:rPr>
                <w:rFonts w:ascii="Arial" w:hAnsi="Arial" w:cs="Arial"/>
                <w:sz w:val="20"/>
                <w:szCs w:val="20"/>
                <w:lang w:val="en-US"/>
              </w:rPr>
              <w:t>ommunity</w:t>
            </w:r>
          </w:p>
          <w:p w:rsidR="003C4CED" w:rsidRPr="00F53530" w:rsidRDefault="003C4CED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  <w:r w:rsidR="00D9485E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 Blogging and use of social media.</w:t>
            </w:r>
          </w:p>
          <w:p w:rsidR="003C4CED" w:rsidRPr="00F53530" w:rsidRDefault="003C4CED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6.</w:t>
            </w:r>
            <w:r w:rsidR="00F13C33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 Media l</w:t>
            </w:r>
            <w:r w:rsidR="00D9485E" w:rsidRPr="00F53530">
              <w:rPr>
                <w:rFonts w:ascii="Arial" w:hAnsi="Arial" w:cs="Arial"/>
                <w:sz w:val="20"/>
                <w:szCs w:val="20"/>
                <w:lang w:val="en-US"/>
              </w:rPr>
              <w:t>iteracy skills including storytelling.</w:t>
            </w:r>
          </w:p>
          <w:p w:rsidR="00456AE3" w:rsidRPr="00F53530" w:rsidRDefault="00456AE3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05DEE" w:rsidRPr="00F53530" w:rsidRDefault="00805DEE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50CE" w:rsidRPr="007D2422" w:rsidTr="003C014C">
        <w:tc>
          <w:tcPr>
            <w:tcW w:w="2376" w:type="dxa"/>
          </w:tcPr>
          <w:p w:rsidR="00A650CE" w:rsidRDefault="00A650CE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Working </w:t>
            </w:r>
            <w:r w:rsidR="00FE6967">
              <w:rPr>
                <w:color w:val="002060"/>
                <w:lang w:val="en-US"/>
              </w:rPr>
              <w:t xml:space="preserve">(teaching) </w:t>
            </w:r>
            <w:r>
              <w:rPr>
                <w:color w:val="002060"/>
                <w:lang w:val="en-US"/>
              </w:rPr>
              <w:t xml:space="preserve">methods proposed </w:t>
            </w:r>
          </w:p>
          <w:p w:rsidR="00805DEE" w:rsidRDefault="00805DEE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A650CE" w:rsidRPr="00F53530" w:rsidRDefault="00F13C33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T</w:t>
            </w:r>
            <w:r w:rsidR="005E320B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he t</w:t>
            </w:r>
            <w:r w:rsidR="000A786E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eaching will be carried out by professional tutors</w:t>
            </w:r>
            <w:r w:rsidR="008674E6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0A786E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all employed by</w:t>
            </w: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8674E6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</w:t>
            </w: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Lancashire Adult Learning Team</w:t>
            </w:r>
            <w:r w:rsidR="00F53530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.  They </w:t>
            </w: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will employ a number of techniques</w:t>
            </w:r>
            <w:r w:rsidR="008674E6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including role play, seminars, talks, break-</w:t>
            </w:r>
            <w:r w:rsidR="008674E6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out sessions and presentations.</w:t>
            </w:r>
            <w:r w:rsidR="00B322E9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LALT</w:t>
            </w:r>
            <w:r w:rsidR="000A786E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have significan</w:t>
            </w:r>
            <w:r w:rsidR="005E320B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t experience in delivering learning support and workshops for volunteers</w:t>
            </w:r>
            <w:r w:rsidR="008674E6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and follow-</w:t>
            </w: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up support is offered</w:t>
            </w:r>
            <w:r w:rsidR="008674E6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. </w:t>
            </w:r>
            <w:r w:rsidR="005E320B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topics chosen </w:t>
            </w:r>
            <w:r w:rsidR="000A786E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have been matched to the needs assessment carried out</w:t>
            </w:r>
            <w:r w:rsidR="005E320B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previously by Super Slow Way and Voluntary Arts.</w:t>
            </w:r>
            <w:r w:rsidR="008674E6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145D47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Voluntary Arts will provide direct</w:t>
            </w: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training</w:t>
            </w:r>
            <w:r w:rsidR="00145D47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support through the running of a media workshop held at BBC Radio Lancashire.</w:t>
            </w:r>
          </w:p>
        </w:tc>
      </w:tr>
      <w:tr w:rsidR="00D370F4" w:rsidRPr="00D370F4" w:rsidTr="003C014C">
        <w:tc>
          <w:tcPr>
            <w:tcW w:w="2376" w:type="dxa"/>
          </w:tcPr>
          <w:p w:rsidR="00D370F4" w:rsidRPr="00456AE3" w:rsidRDefault="00D370F4" w:rsidP="00805DEE">
            <w:pPr>
              <w:rPr>
                <w:color w:val="002060"/>
                <w:lang w:val="en-US"/>
              </w:rPr>
            </w:pPr>
            <w:r w:rsidRPr="00456AE3">
              <w:rPr>
                <w:color w:val="002060"/>
                <w:lang w:val="en-US"/>
              </w:rPr>
              <w:t xml:space="preserve">Learning outcomes </w:t>
            </w:r>
          </w:p>
        </w:tc>
        <w:tc>
          <w:tcPr>
            <w:tcW w:w="7586" w:type="dxa"/>
          </w:tcPr>
          <w:p w:rsidR="0022496B" w:rsidRPr="00F53530" w:rsidRDefault="0022496B" w:rsidP="00145D4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On completion of the </w:t>
            </w:r>
            <w:r w:rsidR="00805DEE" w:rsidRPr="00F53530">
              <w:rPr>
                <w:rFonts w:ascii="Arial" w:hAnsi="Arial" w:cs="Arial"/>
                <w:sz w:val="20"/>
                <w:szCs w:val="20"/>
                <w:lang w:val="en-US"/>
              </w:rPr>
              <w:t>module</w:t>
            </w:r>
            <w:r w:rsidR="00C677E6" w:rsidRPr="00F5353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, the culture </w:t>
            </w:r>
            <w:r w:rsidR="00145D4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volunteers </w:t>
            </w: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will be able to</w:t>
            </w:r>
            <w:r w:rsidR="00805DEE" w:rsidRPr="00F53530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C677E6" w:rsidRPr="00F53530" w:rsidRDefault="00C677E6" w:rsidP="00C677E6">
            <w:pPr>
              <w:numPr>
                <w:ilvl w:val="0"/>
                <w:numId w:val="4"/>
              </w:numPr>
              <w:suppressAutoHyphens/>
              <w:snapToGri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t>Recognise the k</w:t>
            </w:r>
            <w:r w:rsidR="00427C86" w:rsidRPr="00F53530">
              <w:rPr>
                <w:rFonts w:ascii="Arial" w:hAnsi="Arial" w:cs="Arial"/>
                <w:sz w:val="20"/>
                <w:szCs w:val="20"/>
                <w:lang w:eastAsia="en-GB"/>
              </w:rPr>
              <w:t>ey factors which contribute to being a</w:t>
            </w: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good listener</w:t>
            </w:r>
          </w:p>
          <w:p w:rsidR="00C677E6" w:rsidRPr="00F53530" w:rsidRDefault="00C677E6" w:rsidP="00C677E6">
            <w:pPr>
              <w:numPr>
                <w:ilvl w:val="0"/>
                <w:numId w:val="4"/>
              </w:numPr>
              <w:suppressAutoHyphens/>
              <w:snapToGri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t>Demonstrate how to structure feedback</w:t>
            </w:r>
          </w:p>
          <w:p w:rsidR="00C677E6" w:rsidRPr="00F53530" w:rsidRDefault="00C677E6" w:rsidP="00C677E6">
            <w:pPr>
              <w:numPr>
                <w:ilvl w:val="0"/>
                <w:numId w:val="4"/>
              </w:numPr>
              <w:suppressAutoHyphens/>
              <w:snapToGri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t>How to use body language positively</w:t>
            </w:r>
          </w:p>
          <w:p w:rsidR="00456AE3" w:rsidRPr="00F53530" w:rsidRDefault="00C677E6" w:rsidP="00427C86">
            <w:pPr>
              <w:numPr>
                <w:ilvl w:val="0"/>
                <w:numId w:val="4"/>
              </w:numPr>
              <w:suppressAutoHyphens/>
              <w:snapToGri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Demonstrate how to express a point clearly</w:t>
            </w:r>
          </w:p>
          <w:p w:rsidR="00C677E6" w:rsidRPr="00F53530" w:rsidRDefault="00C677E6" w:rsidP="00427C86">
            <w:pPr>
              <w:numPr>
                <w:ilvl w:val="0"/>
                <w:numId w:val="5"/>
              </w:numPr>
              <w:suppressAutoHyphens/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t>Benefits &amp; boundaries of networking.</w:t>
            </w:r>
          </w:p>
          <w:p w:rsidR="00C677E6" w:rsidRPr="00F53530" w:rsidRDefault="00C677E6" w:rsidP="00C677E6">
            <w:pPr>
              <w:numPr>
                <w:ilvl w:val="0"/>
                <w:numId w:val="5"/>
              </w:numPr>
              <w:suppressAutoHyphens/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t>Barriers to networking &amp; how to overcome them.</w:t>
            </w:r>
          </w:p>
          <w:p w:rsidR="00C677E6" w:rsidRPr="00F53530" w:rsidRDefault="00C677E6" w:rsidP="00C677E6">
            <w:pPr>
              <w:numPr>
                <w:ilvl w:val="0"/>
                <w:numId w:val="5"/>
              </w:numPr>
              <w:suppressAutoHyphens/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t>Identifying your network using Stakeholder Analysis/6 Degrees &amp; other theories.</w:t>
            </w:r>
          </w:p>
          <w:p w:rsidR="00C677E6" w:rsidRPr="00F53530" w:rsidRDefault="00C677E6" w:rsidP="00C677E6">
            <w:pPr>
              <w:numPr>
                <w:ilvl w:val="0"/>
                <w:numId w:val="5"/>
              </w:numPr>
              <w:suppressAutoHyphens/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t>Networking correspondence</w:t>
            </w:r>
          </w:p>
          <w:p w:rsidR="00C677E6" w:rsidRPr="00F53530" w:rsidRDefault="00C677E6" w:rsidP="00C677E6">
            <w:pPr>
              <w:numPr>
                <w:ilvl w:val="0"/>
                <w:numId w:val="5"/>
              </w:numPr>
              <w:suppressAutoHyphens/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t>Nurturing &amp; maintaining your network.</w:t>
            </w:r>
          </w:p>
          <w:p w:rsidR="00C677E6" w:rsidRPr="00F53530" w:rsidRDefault="00C677E6" w:rsidP="00C677E6">
            <w:pPr>
              <w:numPr>
                <w:ilvl w:val="0"/>
                <w:numId w:val="5"/>
              </w:numPr>
              <w:suppressAutoHyphens/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t>How to gather personal testimony and stories</w:t>
            </w:r>
          </w:p>
          <w:p w:rsidR="00C677E6" w:rsidRPr="00F53530" w:rsidRDefault="00C677E6" w:rsidP="00C677E6">
            <w:pPr>
              <w:numPr>
                <w:ilvl w:val="0"/>
                <w:numId w:val="5"/>
              </w:numPr>
              <w:suppressAutoHyphens/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t>How to create a blog and up load it online</w:t>
            </w:r>
          </w:p>
          <w:p w:rsidR="00C677E6" w:rsidRPr="00F53530" w:rsidRDefault="00427C86" w:rsidP="00C677E6">
            <w:pPr>
              <w:numPr>
                <w:ilvl w:val="0"/>
                <w:numId w:val="5"/>
              </w:numPr>
              <w:suppressAutoHyphens/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t>How to identify a story and how to produce a press release</w:t>
            </w:r>
          </w:p>
          <w:p w:rsidR="00427C86" w:rsidRPr="00F53530" w:rsidRDefault="008674E6" w:rsidP="00C677E6">
            <w:pPr>
              <w:numPr>
                <w:ilvl w:val="0"/>
                <w:numId w:val="5"/>
              </w:numPr>
              <w:suppressAutoHyphens/>
              <w:snapToGrid w:val="0"/>
              <w:spacing w:before="40" w:after="4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eastAsia="en-GB"/>
              </w:rPr>
              <w:t>How to market</w:t>
            </w:r>
            <w:r w:rsidR="00427C86" w:rsidRPr="00F53530">
              <w:rPr>
                <w:rFonts w:ascii="Arial" w:hAnsi="Arial" w:cs="Arial"/>
                <w:sz w:val="20"/>
                <w:szCs w:val="20"/>
                <w:lang w:eastAsia="en-GB"/>
              </w:rPr>
              <w:t xml:space="preserve"> your promotional materials so you connect more effectively with your audience.</w:t>
            </w:r>
          </w:p>
          <w:p w:rsidR="00805DEE" w:rsidRPr="00F53530" w:rsidRDefault="00805DEE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4B4A" w:rsidRPr="007D2422" w:rsidTr="003C014C">
        <w:tc>
          <w:tcPr>
            <w:tcW w:w="2376" w:type="dxa"/>
          </w:tcPr>
          <w:p w:rsidR="00874B4A" w:rsidRDefault="00874B4A" w:rsidP="00874B4A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lastRenderedPageBreak/>
              <w:t>Measure o</w:t>
            </w:r>
            <w:r w:rsidR="00805DEE">
              <w:rPr>
                <w:color w:val="002060"/>
                <w:lang w:val="en-US"/>
              </w:rPr>
              <w:t>f the learning outcomes(s)</w:t>
            </w:r>
            <w:r>
              <w:rPr>
                <w:color w:val="002060"/>
                <w:lang w:val="en-US"/>
              </w:rPr>
              <w:t xml:space="preserve"> (+ templates of the asses</w:t>
            </w:r>
            <w:r w:rsidR="00447BFB">
              <w:rPr>
                <w:color w:val="002060"/>
                <w:lang w:val="en-US"/>
              </w:rPr>
              <w:t>s</w:t>
            </w:r>
            <w:r>
              <w:rPr>
                <w:color w:val="002060"/>
                <w:lang w:val="en-US"/>
              </w:rPr>
              <w:t>ment form)</w:t>
            </w:r>
          </w:p>
          <w:p w:rsidR="008517D5" w:rsidRPr="00456AE3" w:rsidRDefault="008517D5" w:rsidP="00874B4A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427C86" w:rsidRPr="00F53530" w:rsidRDefault="00447BFB" w:rsidP="00427C86">
            <w:pPr>
              <w:snapToGrid w:val="0"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53530">
              <w:rPr>
                <w:rFonts w:ascii="Arial" w:hAnsi="Arial" w:cs="Arial"/>
                <w:i/>
                <w:sz w:val="20"/>
                <w:szCs w:val="20"/>
              </w:rPr>
              <w:t>Assessment will be through the gathering of a</w:t>
            </w:r>
            <w:r w:rsidR="00427C86" w:rsidRPr="00F53530">
              <w:rPr>
                <w:rFonts w:ascii="Arial" w:hAnsi="Arial" w:cs="Arial"/>
                <w:i/>
                <w:sz w:val="20"/>
                <w:szCs w:val="20"/>
              </w:rPr>
              <w:t xml:space="preserve"> portfolio of </w:t>
            </w:r>
            <w:r w:rsidRPr="00F53530">
              <w:rPr>
                <w:rFonts w:ascii="Arial" w:hAnsi="Arial" w:cs="Arial"/>
                <w:i/>
                <w:sz w:val="20"/>
                <w:szCs w:val="20"/>
              </w:rPr>
              <w:t>evidence</w:t>
            </w:r>
            <w:r w:rsidR="008674E6" w:rsidRPr="00F53530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F53530">
              <w:rPr>
                <w:rFonts w:ascii="Arial" w:hAnsi="Arial" w:cs="Arial"/>
                <w:i/>
                <w:sz w:val="20"/>
                <w:szCs w:val="20"/>
              </w:rPr>
              <w:t xml:space="preserve"> including course materials and</w:t>
            </w:r>
            <w:r w:rsidR="00132977" w:rsidRPr="00F53530">
              <w:rPr>
                <w:rFonts w:ascii="Arial" w:hAnsi="Arial" w:cs="Arial"/>
                <w:i/>
                <w:sz w:val="20"/>
                <w:szCs w:val="20"/>
              </w:rPr>
              <w:t xml:space="preserve"> examples of best practice documentation e.g. newsletters, press releases, handbook</w:t>
            </w:r>
            <w:r w:rsidR="00F13C33" w:rsidRPr="00F53530">
              <w:rPr>
                <w:rFonts w:ascii="Arial" w:hAnsi="Arial" w:cs="Arial"/>
                <w:i/>
                <w:sz w:val="20"/>
                <w:szCs w:val="20"/>
              </w:rPr>
              <w:t>s, guidelines, policy documents, tips and checklists.</w:t>
            </w:r>
            <w:r w:rsidR="00132977" w:rsidRPr="00F53530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F53530">
              <w:rPr>
                <w:rFonts w:ascii="Arial" w:hAnsi="Arial" w:cs="Arial"/>
                <w:i/>
                <w:sz w:val="20"/>
                <w:szCs w:val="20"/>
              </w:rPr>
              <w:t xml:space="preserve">  Individuals will also be asked to produ</w:t>
            </w:r>
            <w:r w:rsidR="008674E6" w:rsidRPr="00F53530">
              <w:rPr>
                <w:rFonts w:ascii="Arial" w:hAnsi="Arial" w:cs="Arial"/>
                <w:i/>
                <w:sz w:val="20"/>
                <w:szCs w:val="20"/>
              </w:rPr>
              <w:t>ce a self reflective log/diary.</w:t>
            </w:r>
            <w:r w:rsidRPr="00F53530">
              <w:rPr>
                <w:rFonts w:ascii="Arial" w:hAnsi="Arial" w:cs="Arial"/>
                <w:i/>
                <w:sz w:val="20"/>
                <w:szCs w:val="20"/>
              </w:rPr>
              <w:t>The two day course will be for</w:t>
            </w:r>
            <w:r w:rsidR="00132977" w:rsidRPr="00F53530">
              <w:rPr>
                <w:rFonts w:ascii="Arial" w:hAnsi="Arial" w:cs="Arial"/>
                <w:i/>
                <w:sz w:val="20"/>
                <w:szCs w:val="20"/>
              </w:rPr>
              <w:t>mally evaluated through a self assessment questionnaire which all attendees are asked to complete at the end of their 2</w:t>
            </w:r>
            <w:r w:rsidR="00B322E9" w:rsidRPr="00F53530">
              <w:rPr>
                <w:rFonts w:ascii="Arial" w:hAnsi="Arial" w:cs="Arial"/>
                <w:i/>
                <w:sz w:val="20"/>
                <w:szCs w:val="20"/>
              </w:rPr>
              <w:t>.5</w:t>
            </w:r>
            <w:r w:rsidR="00132977" w:rsidRPr="00F53530">
              <w:rPr>
                <w:rFonts w:ascii="Arial" w:hAnsi="Arial" w:cs="Arial"/>
                <w:i/>
                <w:sz w:val="20"/>
                <w:szCs w:val="20"/>
              </w:rPr>
              <w:t xml:space="preserve"> day programme.</w:t>
            </w:r>
          </w:p>
          <w:p w:rsidR="008517D5" w:rsidRPr="00F53530" w:rsidRDefault="008517D5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5234A1" w:rsidRPr="007D2422" w:rsidTr="003C014C">
        <w:tc>
          <w:tcPr>
            <w:tcW w:w="2376" w:type="dxa"/>
          </w:tcPr>
          <w:p w:rsidR="005234A1" w:rsidRDefault="005234A1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Evaluation methods proposed</w:t>
            </w:r>
          </w:p>
          <w:p w:rsidR="005234A1" w:rsidRDefault="005234A1" w:rsidP="005234A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(+ templates of the evaluation form)</w:t>
            </w:r>
          </w:p>
          <w:p w:rsidR="00805DEE" w:rsidRPr="00456AE3" w:rsidRDefault="00805DEE" w:rsidP="005234A1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8517D5" w:rsidRPr="00F53530" w:rsidRDefault="008517D5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Evaluation criteria:</w:t>
            </w:r>
          </w:p>
          <w:p w:rsidR="008517D5" w:rsidRPr="00F53530" w:rsidRDefault="008517D5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447BFB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Attendance at all sessions</w:t>
            </w:r>
          </w:p>
          <w:p w:rsidR="00132977" w:rsidRPr="00F53530" w:rsidRDefault="008517D5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13297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Completion of course work.</w:t>
            </w:r>
          </w:p>
          <w:p w:rsidR="008517D5" w:rsidRPr="00F53530" w:rsidRDefault="00132977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- Production of a self-reflective log</w:t>
            </w:r>
          </w:p>
          <w:p w:rsidR="00132977" w:rsidRPr="00F53530" w:rsidRDefault="00132977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- Participation in group activities or role play</w:t>
            </w:r>
          </w:p>
          <w:p w:rsidR="00132977" w:rsidRPr="00F53530" w:rsidRDefault="00132977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- Examples </w:t>
            </w:r>
            <w:r w:rsidR="002F0DA7" w:rsidRPr="00F53530">
              <w:rPr>
                <w:rFonts w:ascii="Arial" w:hAnsi="Arial" w:cs="Arial"/>
                <w:sz w:val="20"/>
                <w:szCs w:val="20"/>
                <w:lang w:val="en-US"/>
              </w:rPr>
              <w:t>of materials collated to be displayed in their portfolio</w:t>
            </w:r>
            <w:r w:rsidR="008674E6" w:rsidRPr="00F5353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2F0DA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including handouts and evidence gathered. </w:t>
            </w:r>
          </w:p>
          <w:p w:rsidR="00132977" w:rsidRPr="00F53530" w:rsidRDefault="00132977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r w:rsidR="007C4A66" w:rsidRPr="00F53530">
              <w:rPr>
                <w:rFonts w:ascii="Arial" w:hAnsi="Arial" w:cs="Arial"/>
                <w:sz w:val="20"/>
                <w:szCs w:val="20"/>
                <w:lang w:val="en-US"/>
              </w:rPr>
              <w:t>Production of</w:t>
            </w:r>
            <w:r w:rsidR="002F0DA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bespoke</w:t>
            </w:r>
            <w:r w:rsidR="007C4A66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presentation materials </w:t>
            </w:r>
          </w:p>
          <w:p w:rsidR="008517D5" w:rsidRPr="00F53530" w:rsidRDefault="008517D5" w:rsidP="007C4A6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874B4A" w:rsidRPr="007D2422" w:rsidTr="003C014C">
        <w:tc>
          <w:tcPr>
            <w:tcW w:w="2376" w:type="dxa"/>
          </w:tcPr>
          <w:p w:rsidR="00874B4A" w:rsidRDefault="00874B4A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Profile of the trainer(s)</w:t>
            </w:r>
          </w:p>
          <w:p w:rsidR="00805DEE" w:rsidRDefault="00805DEE" w:rsidP="00A50236">
            <w:pPr>
              <w:rPr>
                <w:color w:val="002060"/>
                <w:lang w:val="en-US"/>
              </w:rPr>
            </w:pPr>
          </w:p>
          <w:p w:rsidR="00805DEE" w:rsidRDefault="00805DEE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874B4A" w:rsidRPr="00F53530" w:rsidRDefault="00805DEE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The train</w:t>
            </w:r>
            <w:r w:rsidR="007C4A66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er vocational profile</w:t>
            </w:r>
          </w:p>
          <w:p w:rsidR="007C4A66" w:rsidRPr="00F53530" w:rsidRDefault="007C4A66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a) experienced trainer who has worked with volunteers previously</w:t>
            </w:r>
          </w:p>
          <w:p w:rsidR="007C4A66" w:rsidRPr="00F53530" w:rsidRDefault="007C4A66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b) is able to adapt and adjust their modules according to the needs of the group</w:t>
            </w:r>
          </w:p>
          <w:p w:rsidR="007C4A66" w:rsidRPr="00F53530" w:rsidRDefault="007C4A66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c) holds relevant professional qualifications </w:t>
            </w:r>
          </w:p>
          <w:p w:rsidR="007C4A66" w:rsidRPr="00F53530" w:rsidRDefault="007C4A66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d)</w:t>
            </w:r>
            <w:r w:rsidR="001B4C17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has had experience of volunteering themselves or volunteer management</w:t>
            </w:r>
          </w:p>
          <w:p w:rsidR="007C4A66" w:rsidRPr="00F53530" w:rsidRDefault="007C4A66" w:rsidP="007C4A6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e)</w:t>
            </w:r>
            <w:r w:rsidR="001B4C17"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F53530">
              <w:rPr>
                <w:rFonts w:ascii="Arial" w:hAnsi="Arial" w:cs="Arial"/>
                <w:i/>
                <w:sz w:val="20"/>
                <w:szCs w:val="20"/>
                <w:lang w:val="en-US"/>
              </w:rPr>
              <w:t>understands the broad needs of working in a rural or sparsely populated area and the pulls and pressures this can bring when delivering services.</w:t>
            </w:r>
          </w:p>
        </w:tc>
      </w:tr>
      <w:tr w:rsidR="00D370F4" w:rsidRPr="00805DEE" w:rsidTr="003C014C">
        <w:tc>
          <w:tcPr>
            <w:tcW w:w="2376" w:type="dxa"/>
          </w:tcPr>
          <w:p w:rsidR="00D370F4" w:rsidRPr="00456AE3" w:rsidRDefault="00805DEE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Course m</w:t>
            </w:r>
            <w:r w:rsidR="00D370F4" w:rsidRPr="00456AE3">
              <w:rPr>
                <w:color w:val="002060"/>
                <w:lang w:val="en-US"/>
              </w:rPr>
              <w:t xml:space="preserve">aterials for the trainer proposed </w:t>
            </w:r>
          </w:p>
        </w:tc>
        <w:tc>
          <w:tcPr>
            <w:tcW w:w="7586" w:type="dxa"/>
          </w:tcPr>
          <w:p w:rsidR="00456AE3" w:rsidRPr="00F53530" w:rsidRDefault="002F0DA7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We would expect that the t</w:t>
            </w:r>
            <w:r w:rsidR="000222E3" w:rsidRPr="00F53530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ain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er would abide by </w:t>
            </w:r>
            <w:r w:rsidR="008674E6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standards </w:t>
            </w:r>
            <w:r w:rsidR="008674E6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of the 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>Investors in Vo</w:t>
            </w:r>
            <w:r w:rsidR="00F13C33" w:rsidRPr="00F53530">
              <w:rPr>
                <w:rFonts w:ascii="Arial" w:hAnsi="Arial" w:cs="Arial"/>
                <w:sz w:val="20"/>
                <w:szCs w:val="20"/>
                <w:lang w:val="en-US"/>
              </w:rPr>
              <w:t>lunteer Standards agreed by National Council for Voluntary Organisations (NCVO)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– which is the national best practice quality assurance programme for volunteer managers.</w:t>
            </w:r>
          </w:p>
          <w:p w:rsidR="00456AE3" w:rsidRPr="00F53530" w:rsidRDefault="00456AE3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6AE3" w:rsidRPr="00F53530" w:rsidRDefault="00456AE3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805DEE" w:rsidTr="003C014C">
        <w:tc>
          <w:tcPr>
            <w:tcW w:w="2376" w:type="dxa"/>
          </w:tcPr>
          <w:p w:rsidR="00D370F4" w:rsidRDefault="00805DEE" w:rsidP="00A5023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Course m</w:t>
            </w:r>
            <w:r w:rsidR="00D370F4" w:rsidRPr="00456AE3">
              <w:rPr>
                <w:color w:val="002060"/>
                <w:lang w:val="en-US"/>
              </w:rPr>
              <w:t xml:space="preserve">aterials for the </w:t>
            </w:r>
            <w:r>
              <w:rPr>
                <w:color w:val="002060"/>
                <w:lang w:val="en-US"/>
              </w:rPr>
              <w:t xml:space="preserve">course participants (trainees) </w:t>
            </w:r>
            <w:r w:rsidR="00D370F4" w:rsidRPr="00456AE3">
              <w:rPr>
                <w:color w:val="002060"/>
                <w:lang w:val="en-US"/>
              </w:rPr>
              <w:t>proposed</w:t>
            </w:r>
          </w:p>
          <w:p w:rsidR="000B7729" w:rsidRPr="00456AE3" w:rsidRDefault="000B7729" w:rsidP="00A50236">
            <w:pPr>
              <w:rPr>
                <w:color w:val="002060"/>
                <w:lang w:val="en-US"/>
              </w:rPr>
            </w:pPr>
          </w:p>
        </w:tc>
        <w:tc>
          <w:tcPr>
            <w:tcW w:w="7586" w:type="dxa"/>
          </w:tcPr>
          <w:p w:rsidR="002F0DA7" w:rsidRPr="00F53530" w:rsidRDefault="00F13C33" w:rsidP="002F0D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2F0DA7" w:rsidRPr="00F53530">
              <w:rPr>
                <w:rFonts w:ascii="Arial" w:hAnsi="Arial" w:cs="Arial"/>
                <w:sz w:val="20"/>
                <w:szCs w:val="20"/>
                <w:lang w:val="en-US"/>
              </w:rPr>
              <w:t>ore module lesson plans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0222E3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handouts</w:t>
            </w:r>
            <w:r w:rsidR="001B4C17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 and presentations</w:t>
            </w: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F13C33" w:rsidRPr="00F53530" w:rsidRDefault="00F13C33" w:rsidP="002F0D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Examples of best practice e.g. forms, checklists, mapping and scoping processes</w:t>
            </w:r>
          </w:p>
          <w:p w:rsidR="00F13C33" w:rsidRPr="00F53530" w:rsidRDefault="00F13C33" w:rsidP="002F0D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Materials will all be handed out at events and will </w:t>
            </w:r>
            <w:r w:rsidR="008674E6" w:rsidRPr="00F53530">
              <w:rPr>
                <w:rFonts w:ascii="Arial" w:hAnsi="Arial" w:cs="Arial"/>
                <w:sz w:val="20"/>
                <w:szCs w:val="20"/>
                <w:lang w:val="en-US"/>
              </w:rPr>
              <w:t xml:space="preserve">also be made available </w:t>
            </w: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on the SPAR website for partner groups/organisations.</w:t>
            </w:r>
          </w:p>
          <w:p w:rsidR="008C082F" w:rsidRPr="00F53530" w:rsidRDefault="008C082F" w:rsidP="002F0D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53530">
              <w:rPr>
                <w:rFonts w:ascii="Arial" w:hAnsi="Arial" w:cs="Arial"/>
                <w:sz w:val="20"/>
                <w:szCs w:val="20"/>
                <w:lang w:val="en-US"/>
              </w:rPr>
              <w:t>All attendees will receive a certificate of attendance at the end of the 2 day programme.</w:t>
            </w:r>
          </w:p>
          <w:p w:rsidR="00805DEE" w:rsidRPr="00F53530" w:rsidRDefault="00805DEE" w:rsidP="00456AE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D370F4" w:rsidRPr="00F53530" w:rsidRDefault="00D370F4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</w:tbl>
    <w:p w:rsidR="00AE086B" w:rsidRPr="00D370F4" w:rsidRDefault="00AE086B" w:rsidP="00A50236">
      <w:pPr>
        <w:rPr>
          <w:lang w:val="en-US"/>
        </w:rPr>
      </w:pPr>
    </w:p>
    <w:p w:rsidR="00AE086B" w:rsidRPr="00D370F4" w:rsidRDefault="00AE086B" w:rsidP="00A50236">
      <w:pPr>
        <w:rPr>
          <w:lang w:val="en-US"/>
        </w:rPr>
      </w:pPr>
    </w:p>
    <w:p w:rsidR="00A50236" w:rsidRPr="00A50236" w:rsidRDefault="00A50236" w:rsidP="00A50236">
      <w:pPr>
        <w:rPr>
          <w:lang w:val="en-GB" w:eastAsia="da-DK"/>
        </w:rPr>
      </w:pPr>
    </w:p>
    <w:p w:rsidR="00A50236" w:rsidRPr="00D370F4" w:rsidRDefault="00A50236" w:rsidP="00A50236">
      <w:pPr>
        <w:tabs>
          <w:tab w:val="left" w:pos="1397"/>
        </w:tabs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670211" w:rsidRPr="00D370F4" w:rsidRDefault="00A50236" w:rsidP="00A50236">
      <w:pPr>
        <w:tabs>
          <w:tab w:val="left" w:pos="7780"/>
        </w:tabs>
        <w:rPr>
          <w:lang w:val="en-US"/>
        </w:rPr>
      </w:pPr>
      <w:r w:rsidRPr="00D370F4">
        <w:rPr>
          <w:lang w:val="en-US"/>
        </w:rPr>
        <w:tab/>
      </w:r>
    </w:p>
    <w:p w:rsidR="00A50236" w:rsidRPr="00D370F4" w:rsidRDefault="00A50236" w:rsidP="00A50236">
      <w:pPr>
        <w:tabs>
          <w:tab w:val="left" w:pos="7780"/>
        </w:tabs>
        <w:rPr>
          <w:lang w:val="en-US"/>
        </w:rPr>
      </w:pPr>
    </w:p>
    <w:p w:rsidR="00A50236" w:rsidRPr="00D370F4" w:rsidRDefault="00A50236" w:rsidP="00A50236">
      <w:pPr>
        <w:tabs>
          <w:tab w:val="left" w:pos="7780"/>
        </w:tabs>
        <w:rPr>
          <w:lang w:val="en-US"/>
        </w:rPr>
      </w:pPr>
    </w:p>
    <w:p w:rsidR="00A50236" w:rsidRPr="00D370F4" w:rsidRDefault="00A50236" w:rsidP="00A50236">
      <w:pPr>
        <w:tabs>
          <w:tab w:val="left" w:pos="7780"/>
        </w:tabs>
        <w:rPr>
          <w:lang w:val="en-US"/>
        </w:rPr>
      </w:pPr>
    </w:p>
    <w:p w:rsidR="00A50236" w:rsidRPr="00A50236" w:rsidRDefault="00A50236" w:rsidP="00A50236">
      <w:pPr>
        <w:tabs>
          <w:tab w:val="left" w:pos="7780"/>
        </w:tabs>
        <w:jc w:val="right"/>
        <w:rPr>
          <w:lang w:val="en-US"/>
        </w:rPr>
      </w:pPr>
      <w:r w:rsidRPr="00A50236">
        <w:rPr>
          <w:lang w:val="en-US"/>
        </w:rPr>
        <w:t xml:space="preserve">Prepared by: Agnieszka </w:t>
      </w:r>
      <w:proofErr w:type="spellStart"/>
      <w:r w:rsidRPr="00A50236">
        <w:rPr>
          <w:lang w:val="en-US"/>
        </w:rPr>
        <w:t>Dadak</w:t>
      </w:r>
      <w:proofErr w:type="spellEnd"/>
      <w:r w:rsidRPr="00A50236">
        <w:rPr>
          <w:lang w:val="en-US"/>
        </w:rPr>
        <w:br/>
        <w:t>Foundation of Alternative Educational Initiatives</w:t>
      </w:r>
      <w:r w:rsidRPr="00A50236">
        <w:rPr>
          <w:lang w:val="en-US"/>
        </w:rPr>
        <w:br/>
      </w:r>
      <w:proofErr w:type="spellStart"/>
      <w:r>
        <w:rPr>
          <w:lang w:val="en-US"/>
        </w:rPr>
        <w:t>Bielsko-Biała</w:t>
      </w:r>
      <w:proofErr w:type="spellEnd"/>
      <w:r>
        <w:rPr>
          <w:lang w:val="en-US"/>
        </w:rPr>
        <w:t xml:space="preserve">, 15 of </w:t>
      </w:r>
      <w:r w:rsidR="000B7729">
        <w:rPr>
          <w:lang w:val="en-US"/>
        </w:rPr>
        <w:t>May</w:t>
      </w:r>
      <w:r>
        <w:rPr>
          <w:lang w:val="en-US"/>
        </w:rPr>
        <w:t xml:space="preserve"> 2017</w:t>
      </w:r>
    </w:p>
    <w:sectPr w:rsidR="00A50236" w:rsidRPr="00A50236" w:rsidSect="003C014C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51" w:rsidRDefault="00377F51" w:rsidP="00E74781">
      <w:pPr>
        <w:spacing w:after="0" w:line="240" w:lineRule="auto"/>
      </w:pPr>
      <w:r>
        <w:separator/>
      </w:r>
    </w:p>
  </w:endnote>
  <w:endnote w:type="continuationSeparator" w:id="0">
    <w:p w:rsidR="00377F51" w:rsidRDefault="00377F51" w:rsidP="00E7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0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848"/>
      <w:gridCol w:w="4252"/>
    </w:tblGrid>
    <w:tr w:rsidR="00E74781" w:rsidRPr="006B6454" w:rsidTr="00E74781">
      <w:trPr>
        <w:trHeight w:val="979"/>
      </w:trPr>
      <w:tc>
        <w:tcPr>
          <w:tcW w:w="4848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E74781" w:rsidRPr="007310E7" w:rsidRDefault="00E74781" w:rsidP="00E227E5">
          <w:pPr>
            <w:pStyle w:val="Subtitle"/>
            <w:spacing w:after="0" w:line="240" w:lineRule="auto"/>
            <w:rPr>
              <w:rFonts w:eastAsiaTheme="majorEastAsia"/>
              <w:color w:val="1F497D" w:themeColor="text2"/>
              <w:sz w:val="40"/>
              <w:szCs w:val="40"/>
            </w:rPr>
          </w:pPr>
          <w:r w:rsidRPr="007310E7">
            <w:rPr>
              <w:rFonts w:eastAsiaTheme="majorEastAsia"/>
              <w:color w:val="1F497D" w:themeColor="text2"/>
              <w:sz w:val="40"/>
              <w:szCs w:val="40"/>
            </w:rPr>
            <w:t>SPAR</w:t>
          </w:r>
        </w:p>
        <w:p w:rsidR="00E74781" w:rsidRPr="007310E7" w:rsidRDefault="00E74781" w:rsidP="00E227E5">
          <w:pPr>
            <w:pStyle w:val="Subtitle"/>
            <w:spacing w:after="0" w:line="240" w:lineRule="auto"/>
            <w:rPr>
              <w:rFonts w:eastAsiaTheme="majorEastAsia"/>
              <w:color w:val="1F497D" w:themeColor="text2"/>
            </w:rPr>
          </w:pPr>
          <w:r w:rsidRPr="007310E7">
            <w:rPr>
              <w:rFonts w:eastAsiaTheme="majorEastAsia"/>
              <w:color w:val="1F497D" w:themeColor="text2"/>
            </w:rPr>
            <w:t xml:space="preserve">  Curricula for culture volunteers and managers </w:t>
          </w:r>
        </w:p>
        <w:p w:rsidR="00E74781" w:rsidRPr="007310E7" w:rsidRDefault="00E74781" w:rsidP="00E227E5">
          <w:pPr>
            <w:pStyle w:val="Subtitle"/>
            <w:spacing w:after="40" w:line="240" w:lineRule="auto"/>
            <w:rPr>
              <w:rFonts w:eastAsiaTheme="majorEastAsia"/>
              <w:color w:val="1F497D" w:themeColor="text2"/>
              <w:sz w:val="18"/>
              <w:szCs w:val="18"/>
            </w:rPr>
          </w:pPr>
          <w:r w:rsidRPr="007310E7">
            <w:rPr>
              <w:rFonts w:eastAsiaTheme="majorEastAsia"/>
              <w:color w:val="1F497D" w:themeColor="text2"/>
            </w:rPr>
            <w:t xml:space="preserve">  in sparsely populated areas</w:t>
          </w:r>
        </w:p>
      </w:tc>
      <w:tc>
        <w:tcPr>
          <w:tcW w:w="4252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E74781" w:rsidRDefault="00E74781" w:rsidP="00E227E5">
          <w:r>
            <w:rPr>
              <w:noProof/>
              <w:lang w:val="en-GB" w:eastAsia="en-GB"/>
            </w:rPr>
            <w:drawing>
              <wp:inline distT="0" distB="0" distL="0" distR="0" wp14:anchorId="4CCBAB9B" wp14:editId="3C833326">
                <wp:extent cx="2524125" cy="714375"/>
                <wp:effectExtent l="19050" t="0" r="9525" b="0"/>
                <wp:docPr id="65" name="Billede 65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781" w:rsidRDefault="00E74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51" w:rsidRDefault="00377F51" w:rsidP="00E74781">
      <w:pPr>
        <w:spacing w:after="0" w:line="240" w:lineRule="auto"/>
      </w:pPr>
      <w:r>
        <w:separator/>
      </w:r>
    </w:p>
  </w:footnote>
  <w:footnote w:type="continuationSeparator" w:id="0">
    <w:p w:rsidR="00377F51" w:rsidRDefault="00377F51" w:rsidP="00E7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22" w:rsidRDefault="007D2422" w:rsidP="003C014C">
    <w:pPr>
      <w:pStyle w:val="Header"/>
      <w:tabs>
        <w:tab w:val="clear" w:pos="4536"/>
        <w:tab w:val="clear" w:pos="9072"/>
        <w:tab w:val="left" w:pos="3834"/>
      </w:tabs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A9F760E" wp14:editId="7280A876">
          <wp:simplePos x="0" y="0"/>
          <wp:positionH relativeFrom="column">
            <wp:posOffset>-567781</wp:posOffset>
          </wp:positionH>
          <wp:positionV relativeFrom="paragraph">
            <wp:posOffset>-348747</wp:posOffset>
          </wp:positionV>
          <wp:extent cx="2638068" cy="943136"/>
          <wp:effectExtent l="0" t="0" r="0" b="9525"/>
          <wp:wrapNone/>
          <wp:docPr id="1" name="Obraz 1" descr="C:\Users\Rafał\Documents\FAIE_2017\3_SPAR_2017_Realizacja\SPAR_Realizacja_2017\LOGOs_SPAR_2017\SPAR Proje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ł\Documents\FAIE_2017\3_SPAR_2017_Realizacja\SPAR_Realizacja_2017\LOGOs_SPAR_2017\SPAR Proje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8" cy="943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1AD">
      <w:tab/>
    </w:r>
    <w:r w:rsidR="003C014C">
      <w:t>V1</w:t>
    </w:r>
    <w:r w:rsidR="009411AD">
      <w:t>/FAIE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C58"/>
    <w:multiLevelType w:val="hybridMultilevel"/>
    <w:tmpl w:val="B006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488C"/>
    <w:multiLevelType w:val="hybridMultilevel"/>
    <w:tmpl w:val="D8B8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284F"/>
    <w:multiLevelType w:val="hybridMultilevel"/>
    <w:tmpl w:val="8DE28CEA"/>
    <w:lvl w:ilvl="0" w:tplc="1C1A69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43A10"/>
    <w:multiLevelType w:val="hybridMultilevel"/>
    <w:tmpl w:val="8736C586"/>
    <w:lvl w:ilvl="0" w:tplc="4AAE7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29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28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4A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81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29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6F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2D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08A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9F49E7"/>
    <w:multiLevelType w:val="hybridMultilevel"/>
    <w:tmpl w:val="0D2CBEFE"/>
    <w:lvl w:ilvl="0" w:tplc="4216B330">
      <w:start w:val="1"/>
      <w:numFmt w:val="bullet"/>
      <w:pStyle w:val="punktmedindryk"/>
      <w:lvlText w:val=""/>
      <w:lvlJc w:val="left"/>
      <w:pPr>
        <w:ind w:left="2024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A"/>
    <w:rsid w:val="00012909"/>
    <w:rsid w:val="000222E3"/>
    <w:rsid w:val="000A2C72"/>
    <w:rsid w:val="000A786E"/>
    <w:rsid w:val="000B7729"/>
    <w:rsid w:val="00111E03"/>
    <w:rsid w:val="00113E89"/>
    <w:rsid w:val="00132977"/>
    <w:rsid w:val="00145D47"/>
    <w:rsid w:val="001B4C17"/>
    <w:rsid w:val="001F4886"/>
    <w:rsid w:val="002055E2"/>
    <w:rsid w:val="002162D9"/>
    <w:rsid w:val="0022496B"/>
    <w:rsid w:val="00234B2A"/>
    <w:rsid w:val="002679C6"/>
    <w:rsid w:val="00286A03"/>
    <w:rsid w:val="002F0DA7"/>
    <w:rsid w:val="0033656A"/>
    <w:rsid w:val="00377F51"/>
    <w:rsid w:val="003B2BCD"/>
    <w:rsid w:val="003C014C"/>
    <w:rsid w:val="003C4CED"/>
    <w:rsid w:val="003F5312"/>
    <w:rsid w:val="00427C86"/>
    <w:rsid w:val="00447BFB"/>
    <w:rsid w:val="00456AE3"/>
    <w:rsid w:val="004D3B04"/>
    <w:rsid w:val="004D6751"/>
    <w:rsid w:val="004E08A6"/>
    <w:rsid w:val="005208E2"/>
    <w:rsid w:val="005224B9"/>
    <w:rsid w:val="005234A1"/>
    <w:rsid w:val="0053736B"/>
    <w:rsid w:val="00550A40"/>
    <w:rsid w:val="005E320B"/>
    <w:rsid w:val="005F1950"/>
    <w:rsid w:val="00663848"/>
    <w:rsid w:val="00670211"/>
    <w:rsid w:val="00674B30"/>
    <w:rsid w:val="007776F5"/>
    <w:rsid w:val="007C4A66"/>
    <w:rsid w:val="007D2422"/>
    <w:rsid w:val="007D30E7"/>
    <w:rsid w:val="00805DEE"/>
    <w:rsid w:val="008517D5"/>
    <w:rsid w:val="008674E6"/>
    <w:rsid w:val="00874B4A"/>
    <w:rsid w:val="008C082F"/>
    <w:rsid w:val="00906C6B"/>
    <w:rsid w:val="009411AD"/>
    <w:rsid w:val="00942CCE"/>
    <w:rsid w:val="009A3B54"/>
    <w:rsid w:val="009D53DE"/>
    <w:rsid w:val="00A2269C"/>
    <w:rsid w:val="00A30292"/>
    <w:rsid w:val="00A50236"/>
    <w:rsid w:val="00A650CE"/>
    <w:rsid w:val="00AE086B"/>
    <w:rsid w:val="00B22313"/>
    <w:rsid w:val="00B322E9"/>
    <w:rsid w:val="00C677E6"/>
    <w:rsid w:val="00CF5CED"/>
    <w:rsid w:val="00D370F4"/>
    <w:rsid w:val="00D9485E"/>
    <w:rsid w:val="00DB33FF"/>
    <w:rsid w:val="00DB6607"/>
    <w:rsid w:val="00DE194E"/>
    <w:rsid w:val="00E736A6"/>
    <w:rsid w:val="00E74781"/>
    <w:rsid w:val="00EC71D0"/>
    <w:rsid w:val="00F13C33"/>
    <w:rsid w:val="00F53530"/>
    <w:rsid w:val="00F53DD0"/>
    <w:rsid w:val="00FB44CD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88700"/>
  <w15:docId w15:val="{E7F5D513-1EBB-437E-BBEC-F1FA0936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781"/>
  </w:style>
  <w:style w:type="paragraph" w:styleId="Footer">
    <w:name w:val="footer"/>
    <w:basedOn w:val="Normal"/>
    <w:link w:val="FooterChar"/>
    <w:uiPriority w:val="99"/>
    <w:unhideWhenUsed/>
    <w:rsid w:val="00E7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781"/>
  </w:style>
  <w:style w:type="paragraph" w:styleId="BalloonText">
    <w:name w:val="Balloon Text"/>
    <w:basedOn w:val="Normal"/>
    <w:link w:val="BalloonTextChar"/>
    <w:uiPriority w:val="99"/>
    <w:semiHidden/>
    <w:unhideWhenUsed/>
    <w:rsid w:val="00E7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78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781"/>
    <w:pPr>
      <w:tabs>
        <w:tab w:val="left" w:pos="357"/>
        <w:tab w:val="left" w:pos="714"/>
      </w:tabs>
      <w:autoSpaceDE w:val="0"/>
      <w:autoSpaceDN w:val="0"/>
      <w:adjustRightInd w:val="0"/>
      <w:spacing w:after="60"/>
      <w:outlineLvl w:val="1"/>
    </w:pPr>
    <w:rPr>
      <w:rFonts w:ascii="Arial" w:eastAsia="Times New Roman" w:hAnsi="Arial" w:cs="Arial"/>
      <w:b/>
      <w:color w:val="1F497D"/>
      <w:sz w:val="20"/>
      <w:szCs w:val="20"/>
      <w:lang w:val="en-GB" w:eastAsia="da-DK"/>
    </w:rPr>
  </w:style>
  <w:style w:type="character" w:customStyle="1" w:styleId="SubtitleChar">
    <w:name w:val="Subtitle Char"/>
    <w:basedOn w:val="DefaultParagraphFont"/>
    <w:link w:val="Subtitle"/>
    <w:uiPriority w:val="11"/>
    <w:rsid w:val="00E74781"/>
    <w:rPr>
      <w:rFonts w:ascii="Arial" w:eastAsia="Times New Roman" w:hAnsi="Arial" w:cs="Arial"/>
      <w:b/>
      <w:color w:val="1F497D"/>
      <w:sz w:val="20"/>
      <w:szCs w:val="20"/>
      <w:lang w:val="en-GB" w:eastAsia="da-DK"/>
    </w:rPr>
  </w:style>
  <w:style w:type="paragraph" w:customStyle="1" w:styleId="punktmedindryk">
    <w:name w:val="punkt med indryk"/>
    <w:basedOn w:val="Normal"/>
    <w:rsid w:val="00A50236"/>
    <w:pPr>
      <w:numPr>
        <w:numId w:val="1"/>
      </w:numPr>
      <w:tabs>
        <w:tab w:val="left" w:pos="714"/>
        <w:tab w:val="left" w:pos="1072"/>
      </w:tabs>
      <w:spacing w:after="0" w:line="240" w:lineRule="auto"/>
    </w:pPr>
    <w:rPr>
      <w:rFonts w:ascii="Calibri" w:eastAsia="Calibri" w:hAnsi="Calibri" w:cs="Arial"/>
      <w:lang w:val="en-GB" w:eastAsia="da-DK"/>
    </w:rPr>
  </w:style>
  <w:style w:type="paragraph" w:styleId="Title">
    <w:name w:val="Title"/>
    <w:basedOn w:val="Normal"/>
    <w:next w:val="Normal"/>
    <w:link w:val="TitleChar"/>
    <w:uiPriority w:val="10"/>
    <w:qFormat/>
    <w:rsid w:val="00A50236"/>
    <w:pPr>
      <w:spacing w:before="120" w:after="0" w:line="240" w:lineRule="auto"/>
      <w:jc w:val="center"/>
    </w:pPr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character" w:customStyle="1" w:styleId="TitleChar">
    <w:name w:val="Title Char"/>
    <w:basedOn w:val="DefaultParagraphFont"/>
    <w:link w:val="Title"/>
    <w:uiPriority w:val="10"/>
    <w:rsid w:val="00A50236"/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paragraph" w:customStyle="1" w:styleId="titelpunkt">
    <w:name w:val="titel punkt"/>
    <w:basedOn w:val="punktmedindryk"/>
    <w:link w:val="titelpunktTegn"/>
    <w:qFormat/>
    <w:rsid w:val="00A50236"/>
    <w:pPr>
      <w:spacing w:line="276" w:lineRule="auto"/>
    </w:pPr>
    <w:rPr>
      <w:rFonts w:ascii="Arial" w:hAnsi="Arial"/>
      <w:b/>
      <w:color w:val="1F497D" w:themeColor="text2"/>
      <w:sz w:val="40"/>
      <w:szCs w:val="40"/>
    </w:rPr>
  </w:style>
  <w:style w:type="character" w:customStyle="1" w:styleId="titelpunktTegn">
    <w:name w:val="titel punkt Tegn"/>
    <w:basedOn w:val="DefaultParagraphFont"/>
    <w:link w:val="titelpunkt"/>
    <w:rsid w:val="00A50236"/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table" w:styleId="TableGrid">
    <w:name w:val="Table Grid"/>
    <w:basedOn w:val="TableNormal"/>
    <w:uiPriority w:val="59"/>
    <w:rsid w:val="00D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735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laraine winning</cp:lastModifiedBy>
  <cp:revision>5</cp:revision>
  <dcterms:created xsi:type="dcterms:W3CDTF">2017-06-06T09:25:00Z</dcterms:created>
  <dcterms:modified xsi:type="dcterms:W3CDTF">2017-06-06T12:59:00Z</dcterms:modified>
</cp:coreProperties>
</file>